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360"/>
        <w:tblW w:w="9322" w:type="dxa"/>
        <w:tblLayout w:type="fixed"/>
        <w:tblLook w:val="0000"/>
      </w:tblPr>
      <w:tblGrid>
        <w:gridCol w:w="894"/>
        <w:gridCol w:w="894"/>
        <w:gridCol w:w="1787"/>
        <w:gridCol w:w="2145"/>
        <w:gridCol w:w="3602"/>
      </w:tblGrid>
      <w:tr w:rsidR="00637AE1" w:rsidRPr="0017651C" w:rsidTr="0001786A">
        <w:trPr>
          <w:trHeight w:val="637"/>
        </w:trPr>
        <w:tc>
          <w:tcPr>
            <w:tcW w:w="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FFFFFF"/>
            <w:vAlign w:val="center"/>
          </w:tcPr>
          <w:p w:rsidR="00637AE1" w:rsidRPr="0017651C" w:rsidRDefault="00B11B66" w:rsidP="00637AE1">
            <w:pPr>
              <w:snapToGrid w:val="0"/>
              <w:ind w:left="-108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="00637AE1">
              <w:rPr>
                <w:rFonts w:ascii="Arial" w:hAnsi="Arial" w:cs="Arial"/>
                <w:b/>
                <w:noProof/>
                <w:sz w:val="14"/>
                <w:szCs w:val="14"/>
                <w:lang w:val="es-PE" w:eastAsia="es-PE"/>
              </w:rPr>
              <w:drawing>
                <wp:inline distT="0" distB="0" distL="0" distR="0">
                  <wp:extent cx="361950" cy="428625"/>
                  <wp:effectExtent l="1905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286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595959"/>
            <w:vAlign w:val="center"/>
          </w:tcPr>
          <w:p w:rsidR="00637AE1" w:rsidRPr="0017651C" w:rsidRDefault="00637AE1" w:rsidP="00637AE1">
            <w:pPr>
              <w:snapToGrid w:val="0"/>
              <w:ind w:left="-107" w:firstLine="2"/>
              <w:rPr>
                <w:rFonts w:ascii="Arial" w:hAnsi="Arial" w:cs="Arial"/>
                <w:b/>
                <w:sz w:val="12"/>
                <w:szCs w:val="12"/>
              </w:rPr>
            </w:pPr>
            <w:r w:rsidRPr="0017651C">
              <w:rPr>
                <w:rFonts w:ascii="Arial" w:hAnsi="Arial" w:cs="Arial"/>
                <w:b/>
                <w:sz w:val="12"/>
                <w:szCs w:val="12"/>
              </w:rPr>
              <w:t>PERÚ</w:t>
            </w:r>
          </w:p>
        </w:tc>
        <w:tc>
          <w:tcPr>
            <w:tcW w:w="17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333333"/>
            <w:vAlign w:val="center"/>
          </w:tcPr>
          <w:p w:rsidR="00637AE1" w:rsidRPr="0017651C" w:rsidRDefault="00637AE1" w:rsidP="00637AE1">
            <w:pPr>
              <w:snapToGrid w:val="0"/>
              <w:ind w:left="-108" w:right="-109"/>
              <w:rPr>
                <w:rFonts w:ascii="Arial" w:hAnsi="Arial" w:cs="Arial"/>
                <w:b/>
                <w:sz w:val="12"/>
                <w:szCs w:val="12"/>
              </w:rPr>
            </w:pPr>
            <w:r w:rsidRPr="0017651C">
              <w:rPr>
                <w:rFonts w:ascii="Arial" w:hAnsi="Arial" w:cs="Arial"/>
                <w:b/>
                <w:sz w:val="12"/>
                <w:szCs w:val="12"/>
              </w:rPr>
              <w:t>MINISTERIO</w:t>
            </w:r>
          </w:p>
          <w:p w:rsidR="00637AE1" w:rsidRPr="0017651C" w:rsidRDefault="00637AE1" w:rsidP="00637AE1">
            <w:pPr>
              <w:snapToGrid w:val="0"/>
              <w:ind w:left="-108" w:right="-109" w:firstLine="6"/>
              <w:rPr>
                <w:rFonts w:ascii="Arial" w:hAnsi="Arial" w:cs="Arial"/>
                <w:b/>
                <w:sz w:val="12"/>
                <w:szCs w:val="12"/>
              </w:rPr>
            </w:pPr>
            <w:r w:rsidRPr="0017651C">
              <w:rPr>
                <w:rFonts w:ascii="Arial" w:hAnsi="Arial" w:cs="Arial"/>
                <w:b/>
                <w:sz w:val="12"/>
                <w:szCs w:val="12"/>
              </w:rPr>
              <w:t>DE</w:t>
            </w:r>
          </w:p>
          <w:p w:rsidR="00637AE1" w:rsidRPr="0017651C" w:rsidRDefault="00637AE1" w:rsidP="00637AE1">
            <w:pPr>
              <w:snapToGrid w:val="0"/>
              <w:ind w:left="-108" w:right="-120" w:firstLine="6"/>
              <w:rPr>
                <w:rFonts w:ascii="Arial" w:hAnsi="Arial" w:cs="Arial"/>
                <w:b/>
                <w:sz w:val="12"/>
                <w:szCs w:val="12"/>
              </w:rPr>
            </w:pPr>
            <w:r w:rsidRPr="0017651C">
              <w:rPr>
                <w:rFonts w:ascii="Arial" w:hAnsi="Arial" w:cs="Arial"/>
                <w:b/>
                <w:sz w:val="12"/>
                <w:szCs w:val="12"/>
              </w:rPr>
              <w:t>SALUD</w:t>
            </w:r>
          </w:p>
        </w:tc>
        <w:tc>
          <w:tcPr>
            <w:tcW w:w="21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808080"/>
            <w:vAlign w:val="center"/>
          </w:tcPr>
          <w:p w:rsidR="00637AE1" w:rsidRPr="0017651C" w:rsidRDefault="00637AE1" w:rsidP="00637AE1">
            <w:pPr>
              <w:snapToGrid w:val="0"/>
              <w:ind w:left="-107"/>
              <w:rPr>
                <w:rFonts w:ascii="Arial" w:hAnsi="Arial" w:cs="Arial"/>
                <w:b/>
                <w:sz w:val="12"/>
                <w:szCs w:val="12"/>
              </w:rPr>
            </w:pPr>
            <w:r w:rsidRPr="0017651C">
              <w:rPr>
                <w:rFonts w:ascii="Arial" w:hAnsi="Arial" w:cs="Arial"/>
                <w:b/>
                <w:sz w:val="12"/>
                <w:szCs w:val="12"/>
              </w:rPr>
              <w:t xml:space="preserve">HOSPITAL NACIONAL </w:t>
            </w:r>
          </w:p>
          <w:p w:rsidR="00637AE1" w:rsidRPr="0017651C" w:rsidRDefault="00637AE1" w:rsidP="00637AE1">
            <w:pPr>
              <w:snapToGrid w:val="0"/>
              <w:ind w:left="-107" w:firstLine="11"/>
              <w:rPr>
                <w:rFonts w:ascii="Arial" w:hAnsi="Arial" w:cs="Arial"/>
                <w:b/>
                <w:sz w:val="12"/>
                <w:szCs w:val="12"/>
              </w:rPr>
            </w:pPr>
            <w:r w:rsidRPr="0017651C">
              <w:rPr>
                <w:rFonts w:ascii="Arial" w:hAnsi="Arial" w:cs="Arial"/>
                <w:b/>
                <w:sz w:val="12"/>
                <w:szCs w:val="12"/>
              </w:rPr>
              <w:t>HIPOLITO UNANUE</w:t>
            </w:r>
          </w:p>
        </w:tc>
        <w:tc>
          <w:tcPr>
            <w:tcW w:w="36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3B3B3"/>
            <w:vAlign w:val="center"/>
          </w:tcPr>
          <w:p w:rsidR="00637AE1" w:rsidRPr="0017651C" w:rsidRDefault="00637AE1" w:rsidP="00637AE1">
            <w:pPr>
              <w:snapToGrid w:val="0"/>
              <w:ind w:left="-108" w:firstLine="19"/>
              <w:rPr>
                <w:rFonts w:ascii="Arial" w:hAnsi="Arial" w:cs="Arial"/>
                <w:b/>
                <w:sz w:val="12"/>
                <w:szCs w:val="12"/>
              </w:rPr>
            </w:pPr>
            <w:r w:rsidRPr="0017651C">
              <w:rPr>
                <w:rFonts w:ascii="Arial" w:hAnsi="Arial" w:cs="Arial"/>
                <w:b/>
                <w:sz w:val="12"/>
                <w:szCs w:val="12"/>
              </w:rPr>
              <w:t>UNIDAD</w:t>
            </w:r>
          </w:p>
          <w:p w:rsidR="00637AE1" w:rsidRPr="0017651C" w:rsidRDefault="00637AE1" w:rsidP="00637AE1">
            <w:pPr>
              <w:snapToGrid w:val="0"/>
              <w:ind w:left="-108" w:firstLine="19"/>
              <w:rPr>
                <w:rFonts w:ascii="Arial" w:hAnsi="Arial" w:cs="Arial"/>
                <w:b/>
                <w:sz w:val="12"/>
                <w:szCs w:val="12"/>
              </w:rPr>
            </w:pPr>
            <w:r w:rsidRPr="0017651C">
              <w:rPr>
                <w:rFonts w:ascii="Arial" w:hAnsi="Arial" w:cs="Arial"/>
                <w:b/>
                <w:sz w:val="12"/>
                <w:szCs w:val="12"/>
              </w:rPr>
              <w:t>DE</w:t>
            </w:r>
          </w:p>
          <w:p w:rsidR="00637AE1" w:rsidRPr="0017651C" w:rsidRDefault="00637AE1" w:rsidP="00637AE1">
            <w:pPr>
              <w:snapToGrid w:val="0"/>
              <w:ind w:left="-108" w:firstLine="19"/>
              <w:rPr>
                <w:sz w:val="12"/>
                <w:szCs w:val="12"/>
              </w:rPr>
            </w:pPr>
            <w:r w:rsidRPr="0017651C">
              <w:rPr>
                <w:rFonts w:ascii="Arial" w:hAnsi="Arial" w:cs="Arial"/>
                <w:b/>
                <w:sz w:val="12"/>
                <w:szCs w:val="12"/>
              </w:rPr>
              <w:t>ADMINISTRACIÓN DE ARCHIVOS</w:t>
            </w:r>
          </w:p>
        </w:tc>
      </w:tr>
    </w:tbl>
    <w:p w:rsidR="00637AE1" w:rsidRPr="00637AE1" w:rsidRDefault="00637AE1" w:rsidP="00A5470C">
      <w:pPr>
        <w:ind w:left="0" w:firstLine="0"/>
        <w:jc w:val="both"/>
        <w:rPr>
          <w:rFonts w:ascii="Arial" w:hAnsi="Arial" w:cs="Arial"/>
        </w:rPr>
      </w:pPr>
    </w:p>
    <w:p w:rsidR="00E120B4" w:rsidRDefault="00E120B4" w:rsidP="00637AE1">
      <w:pPr>
        <w:tabs>
          <w:tab w:val="left" w:pos="3030"/>
        </w:tabs>
        <w:rPr>
          <w:rFonts w:ascii="Arial" w:hAnsi="Arial" w:cs="Arial"/>
          <w:sz w:val="14"/>
          <w:szCs w:val="14"/>
        </w:rPr>
      </w:pPr>
    </w:p>
    <w:p w:rsidR="00637AE1" w:rsidRPr="00F12184" w:rsidRDefault="00637AE1" w:rsidP="00637AE1">
      <w:pPr>
        <w:tabs>
          <w:tab w:val="left" w:pos="3030"/>
        </w:tabs>
        <w:rPr>
          <w:rFonts w:ascii="Arial" w:hAnsi="Arial" w:cs="Arial"/>
          <w:b/>
          <w:sz w:val="16"/>
          <w:szCs w:val="16"/>
        </w:rPr>
      </w:pPr>
      <w:r w:rsidRPr="00F12184">
        <w:rPr>
          <w:rFonts w:ascii="Arial" w:hAnsi="Arial" w:cs="Arial"/>
          <w:b/>
          <w:sz w:val="14"/>
          <w:szCs w:val="14"/>
        </w:rPr>
        <w:t>“AÑO DE</w:t>
      </w:r>
      <w:r w:rsidR="00E120B4" w:rsidRPr="00F12184">
        <w:rPr>
          <w:rFonts w:ascii="Arial" w:hAnsi="Arial" w:cs="Arial"/>
          <w:b/>
          <w:sz w:val="14"/>
          <w:szCs w:val="14"/>
        </w:rPr>
        <w:t>L FORTALECIMIENTO DE LA SOBERANÍA NACIONAL</w:t>
      </w:r>
      <w:r w:rsidRPr="00F12184">
        <w:rPr>
          <w:rFonts w:ascii="Arial" w:hAnsi="Arial" w:cs="Arial"/>
          <w:b/>
          <w:sz w:val="16"/>
          <w:szCs w:val="16"/>
        </w:rPr>
        <w:t>”</w:t>
      </w:r>
      <w:r w:rsidRPr="00F12184">
        <w:rPr>
          <w:rFonts w:ascii="Arial" w:hAnsi="Arial" w:cs="Arial"/>
          <w:b/>
          <w:sz w:val="16"/>
          <w:szCs w:val="16"/>
        </w:rPr>
        <w:tab/>
      </w:r>
    </w:p>
    <w:p w:rsidR="00637AE1" w:rsidRPr="00B67658" w:rsidRDefault="00637AE1" w:rsidP="00637AE1">
      <w:pPr>
        <w:rPr>
          <w:rFonts w:ascii="Arial" w:hAnsi="Arial" w:cs="Arial"/>
          <w:sz w:val="18"/>
          <w:szCs w:val="18"/>
        </w:rPr>
      </w:pPr>
    </w:p>
    <w:p w:rsidR="0042282D" w:rsidRPr="00EB55E3" w:rsidRDefault="00EB55E3" w:rsidP="00F12184">
      <w:pPr>
        <w:ind w:left="0" w:firstLine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CIRCULAR N° 001-2022-UAA-HNHU-L/E</w:t>
      </w:r>
    </w:p>
    <w:p w:rsidR="00637AE1" w:rsidRDefault="00637AE1" w:rsidP="00637AE1">
      <w:pPr>
        <w:ind w:left="0" w:firstLine="0"/>
        <w:jc w:val="left"/>
        <w:rPr>
          <w:rFonts w:ascii="Arial" w:hAnsi="Arial" w:cs="Arial"/>
          <w:sz w:val="22"/>
          <w:szCs w:val="22"/>
          <w:u w:val="single"/>
        </w:rPr>
      </w:pPr>
    </w:p>
    <w:p w:rsidR="00637AE1" w:rsidRPr="004302E2" w:rsidRDefault="00637AE1" w:rsidP="00637AE1">
      <w:pPr>
        <w:ind w:left="0" w:firstLine="0"/>
        <w:jc w:val="left"/>
        <w:rPr>
          <w:rFonts w:ascii="Arial" w:hAnsi="Arial" w:cs="Arial"/>
          <w:sz w:val="16"/>
          <w:szCs w:val="16"/>
        </w:rPr>
      </w:pPr>
      <w:r w:rsidRPr="004302E2">
        <w:rPr>
          <w:rFonts w:ascii="Arial" w:hAnsi="Arial" w:cs="Arial"/>
          <w:sz w:val="16"/>
          <w:szCs w:val="16"/>
        </w:rPr>
        <w:t>A</w:t>
      </w:r>
      <w:r w:rsidRPr="004302E2">
        <w:rPr>
          <w:rFonts w:ascii="Arial" w:hAnsi="Arial" w:cs="Arial"/>
          <w:sz w:val="16"/>
          <w:szCs w:val="16"/>
        </w:rPr>
        <w:tab/>
      </w:r>
      <w:r w:rsidR="00F12184" w:rsidRPr="004302E2">
        <w:rPr>
          <w:rFonts w:ascii="Arial" w:hAnsi="Arial" w:cs="Arial"/>
          <w:sz w:val="16"/>
          <w:szCs w:val="16"/>
        </w:rPr>
        <w:tab/>
      </w:r>
      <w:r w:rsidRPr="004302E2">
        <w:rPr>
          <w:rFonts w:ascii="Arial" w:hAnsi="Arial" w:cs="Arial"/>
          <w:sz w:val="16"/>
          <w:szCs w:val="16"/>
        </w:rPr>
        <w:t xml:space="preserve">: </w:t>
      </w:r>
      <w:r w:rsidR="00F12184" w:rsidRPr="004302E2">
        <w:rPr>
          <w:rFonts w:ascii="Arial" w:hAnsi="Arial" w:cs="Arial"/>
          <w:sz w:val="16"/>
          <w:szCs w:val="16"/>
        </w:rPr>
        <w:tab/>
        <w:t>DIRECCIÓN GENERAL</w:t>
      </w:r>
    </w:p>
    <w:p w:rsidR="00637AE1" w:rsidRPr="004302E2" w:rsidRDefault="00637AE1" w:rsidP="00637AE1">
      <w:pPr>
        <w:ind w:left="0" w:firstLine="0"/>
        <w:jc w:val="left"/>
        <w:rPr>
          <w:rFonts w:ascii="Arial" w:hAnsi="Arial" w:cs="Arial"/>
          <w:sz w:val="16"/>
          <w:szCs w:val="16"/>
        </w:rPr>
      </w:pPr>
      <w:r w:rsidRPr="004302E2">
        <w:rPr>
          <w:rFonts w:ascii="Arial" w:hAnsi="Arial" w:cs="Arial"/>
          <w:sz w:val="16"/>
          <w:szCs w:val="16"/>
        </w:rPr>
        <w:tab/>
        <w:t xml:space="preserve">  </w:t>
      </w:r>
      <w:r w:rsidR="00F12184" w:rsidRPr="004302E2">
        <w:rPr>
          <w:rFonts w:ascii="Arial" w:hAnsi="Arial" w:cs="Arial"/>
          <w:sz w:val="16"/>
          <w:szCs w:val="16"/>
        </w:rPr>
        <w:tab/>
      </w:r>
      <w:r w:rsidR="00F12184" w:rsidRPr="004302E2">
        <w:rPr>
          <w:rFonts w:ascii="Arial" w:hAnsi="Arial" w:cs="Arial"/>
          <w:sz w:val="16"/>
          <w:szCs w:val="16"/>
        </w:rPr>
        <w:tab/>
        <w:t>DIRECCIÓN ADJUNTA</w:t>
      </w:r>
    </w:p>
    <w:p w:rsidR="00637AE1" w:rsidRPr="004302E2" w:rsidRDefault="00637AE1" w:rsidP="00637AE1">
      <w:pPr>
        <w:ind w:left="0" w:firstLine="0"/>
        <w:jc w:val="left"/>
        <w:rPr>
          <w:rFonts w:ascii="Arial" w:hAnsi="Arial" w:cs="Arial"/>
          <w:sz w:val="16"/>
          <w:szCs w:val="16"/>
        </w:rPr>
      </w:pPr>
      <w:r w:rsidRPr="004302E2">
        <w:rPr>
          <w:rFonts w:ascii="Arial" w:hAnsi="Arial" w:cs="Arial"/>
          <w:sz w:val="16"/>
          <w:szCs w:val="16"/>
        </w:rPr>
        <w:tab/>
        <w:t xml:space="preserve">  </w:t>
      </w:r>
      <w:r w:rsidR="00F12184" w:rsidRPr="004302E2">
        <w:rPr>
          <w:rFonts w:ascii="Arial" w:hAnsi="Arial" w:cs="Arial"/>
          <w:sz w:val="16"/>
          <w:szCs w:val="16"/>
        </w:rPr>
        <w:tab/>
      </w:r>
      <w:r w:rsidR="00F12184" w:rsidRPr="004302E2">
        <w:rPr>
          <w:rFonts w:ascii="Arial" w:hAnsi="Arial" w:cs="Arial"/>
          <w:sz w:val="16"/>
          <w:szCs w:val="16"/>
        </w:rPr>
        <w:tab/>
        <w:t>DIRECTORES DE OFICINAS ADMINISTRATIVAS</w:t>
      </w:r>
    </w:p>
    <w:p w:rsidR="00637AE1" w:rsidRPr="004302E2" w:rsidRDefault="00637AE1" w:rsidP="00637AE1">
      <w:pPr>
        <w:ind w:left="0" w:firstLine="0"/>
        <w:jc w:val="left"/>
        <w:rPr>
          <w:rFonts w:ascii="Arial" w:hAnsi="Arial" w:cs="Arial"/>
          <w:sz w:val="16"/>
          <w:szCs w:val="16"/>
        </w:rPr>
      </w:pPr>
      <w:r w:rsidRPr="004302E2">
        <w:rPr>
          <w:rFonts w:ascii="Arial" w:hAnsi="Arial" w:cs="Arial"/>
          <w:sz w:val="16"/>
          <w:szCs w:val="16"/>
        </w:rPr>
        <w:tab/>
        <w:t xml:space="preserve">  </w:t>
      </w:r>
      <w:r w:rsidR="00F12184" w:rsidRPr="004302E2">
        <w:rPr>
          <w:rFonts w:ascii="Arial" w:hAnsi="Arial" w:cs="Arial"/>
          <w:sz w:val="16"/>
          <w:szCs w:val="16"/>
        </w:rPr>
        <w:tab/>
      </w:r>
      <w:r w:rsidR="00F12184" w:rsidRPr="004302E2">
        <w:rPr>
          <w:rFonts w:ascii="Arial" w:hAnsi="Arial" w:cs="Arial"/>
          <w:sz w:val="16"/>
          <w:szCs w:val="16"/>
        </w:rPr>
        <w:tab/>
        <w:t>JEFES DE DEPARTAMENTOS ASISTENCIALES</w:t>
      </w:r>
    </w:p>
    <w:p w:rsidR="00637AE1" w:rsidRPr="004302E2" w:rsidRDefault="00637AE1" w:rsidP="00637AE1">
      <w:pPr>
        <w:ind w:left="0" w:firstLine="0"/>
        <w:jc w:val="left"/>
        <w:rPr>
          <w:rFonts w:ascii="Arial" w:hAnsi="Arial" w:cs="Arial"/>
          <w:sz w:val="16"/>
          <w:szCs w:val="16"/>
        </w:rPr>
      </w:pPr>
    </w:p>
    <w:p w:rsidR="00637AE1" w:rsidRPr="004302E2" w:rsidRDefault="00F12184" w:rsidP="00637AE1">
      <w:pPr>
        <w:ind w:left="0" w:firstLine="0"/>
        <w:jc w:val="left"/>
        <w:rPr>
          <w:rFonts w:ascii="Arial" w:hAnsi="Arial" w:cs="Arial"/>
          <w:sz w:val="16"/>
          <w:szCs w:val="16"/>
        </w:rPr>
      </w:pPr>
      <w:r w:rsidRPr="004302E2">
        <w:rPr>
          <w:rFonts w:ascii="Arial" w:hAnsi="Arial" w:cs="Arial"/>
          <w:sz w:val="16"/>
          <w:szCs w:val="16"/>
        </w:rPr>
        <w:t>ASUNTO</w:t>
      </w:r>
      <w:r w:rsidR="004302E2">
        <w:rPr>
          <w:rFonts w:ascii="Arial" w:hAnsi="Arial" w:cs="Arial"/>
          <w:sz w:val="16"/>
          <w:szCs w:val="16"/>
        </w:rPr>
        <w:tab/>
      </w:r>
      <w:r w:rsidR="00637AE1" w:rsidRPr="004302E2">
        <w:rPr>
          <w:rFonts w:ascii="Arial" w:hAnsi="Arial" w:cs="Arial"/>
          <w:sz w:val="16"/>
          <w:szCs w:val="16"/>
        </w:rPr>
        <w:tab/>
        <w:t xml:space="preserve">: </w:t>
      </w:r>
      <w:r w:rsidRPr="004302E2">
        <w:rPr>
          <w:rFonts w:ascii="Arial" w:hAnsi="Arial" w:cs="Arial"/>
          <w:sz w:val="16"/>
          <w:szCs w:val="16"/>
        </w:rPr>
        <w:tab/>
      </w:r>
      <w:r w:rsidR="00637AE1" w:rsidRPr="004302E2">
        <w:rPr>
          <w:rFonts w:ascii="Arial" w:hAnsi="Arial" w:cs="Arial"/>
          <w:sz w:val="16"/>
          <w:szCs w:val="16"/>
        </w:rPr>
        <w:t>CUMPLIMIENTO DE LAS NORMAS Y PROCEDIMIENTOS ARCHIVÍSTICOS</w:t>
      </w:r>
    </w:p>
    <w:p w:rsidR="00637AE1" w:rsidRPr="004302E2" w:rsidRDefault="00637AE1" w:rsidP="00637AE1">
      <w:pPr>
        <w:ind w:left="0" w:firstLine="0"/>
        <w:jc w:val="left"/>
        <w:rPr>
          <w:rFonts w:ascii="Arial" w:hAnsi="Arial" w:cs="Arial"/>
          <w:sz w:val="16"/>
          <w:szCs w:val="16"/>
        </w:rPr>
      </w:pPr>
    </w:p>
    <w:p w:rsidR="00637AE1" w:rsidRPr="004302E2" w:rsidRDefault="00F12184" w:rsidP="00637AE1">
      <w:pPr>
        <w:ind w:left="0" w:firstLine="0"/>
        <w:jc w:val="left"/>
        <w:rPr>
          <w:rFonts w:ascii="Arial" w:hAnsi="Arial" w:cs="Arial"/>
          <w:sz w:val="16"/>
          <w:szCs w:val="16"/>
        </w:rPr>
      </w:pPr>
      <w:r w:rsidRPr="004302E2">
        <w:rPr>
          <w:rFonts w:ascii="Arial" w:hAnsi="Arial" w:cs="Arial"/>
          <w:sz w:val="16"/>
          <w:szCs w:val="16"/>
        </w:rPr>
        <w:t>REF</w:t>
      </w:r>
      <w:r w:rsidR="00637AE1" w:rsidRPr="004302E2">
        <w:rPr>
          <w:rFonts w:ascii="Arial" w:hAnsi="Arial" w:cs="Arial"/>
          <w:sz w:val="16"/>
          <w:szCs w:val="16"/>
        </w:rPr>
        <w:t>.</w:t>
      </w:r>
      <w:r w:rsidR="00637AE1" w:rsidRPr="004302E2">
        <w:rPr>
          <w:rFonts w:ascii="Arial" w:hAnsi="Arial" w:cs="Arial"/>
          <w:sz w:val="16"/>
          <w:szCs w:val="16"/>
        </w:rPr>
        <w:tab/>
      </w:r>
      <w:r w:rsidRPr="004302E2">
        <w:rPr>
          <w:rFonts w:ascii="Arial" w:hAnsi="Arial" w:cs="Arial"/>
          <w:sz w:val="16"/>
          <w:szCs w:val="16"/>
        </w:rPr>
        <w:tab/>
      </w:r>
      <w:r w:rsidR="00637AE1" w:rsidRPr="004302E2">
        <w:rPr>
          <w:rFonts w:ascii="Arial" w:hAnsi="Arial" w:cs="Arial"/>
          <w:sz w:val="16"/>
          <w:szCs w:val="16"/>
        </w:rPr>
        <w:t xml:space="preserve">: </w:t>
      </w:r>
      <w:r w:rsidRPr="004302E2">
        <w:rPr>
          <w:rFonts w:ascii="Arial" w:hAnsi="Arial" w:cs="Arial"/>
          <w:sz w:val="16"/>
          <w:szCs w:val="16"/>
        </w:rPr>
        <w:tab/>
        <w:t>1.- RJ. N°304-2019-AGN/J - DIRECTIVA N°01-2019-AGN/DC (CONSERVACIÓN)</w:t>
      </w:r>
    </w:p>
    <w:p w:rsidR="00637AE1" w:rsidRPr="004302E2" w:rsidRDefault="00637AE1" w:rsidP="00637AE1">
      <w:pPr>
        <w:ind w:left="0" w:firstLine="0"/>
        <w:jc w:val="left"/>
        <w:rPr>
          <w:rFonts w:ascii="Arial" w:hAnsi="Arial" w:cs="Arial"/>
          <w:sz w:val="16"/>
          <w:szCs w:val="16"/>
          <w:lang w:val="es-PE"/>
        </w:rPr>
      </w:pPr>
      <w:r w:rsidRPr="004302E2">
        <w:rPr>
          <w:rFonts w:ascii="Arial" w:hAnsi="Arial" w:cs="Arial"/>
          <w:sz w:val="16"/>
          <w:szCs w:val="16"/>
        </w:rPr>
        <w:tab/>
        <w:t xml:space="preserve">  </w:t>
      </w:r>
      <w:r w:rsidR="00F12184" w:rsidRPr="004302E2">
        <w:rPr>
          <w:rFonts w:ascii="Arial" w:hAnsi="Arial" w:cs="Arial"/>
          <w:sz w:val="16"/>
          <w:szCs w:val="16"/>
        </w:rPr>
        <w:tab/>
      </w:r>
      <w:r w:rsidR="00F12184" w:rsidRPr="004302E2">
        <w:rPr>
          <w:rFonts w:ascii="Arial" w:hAnsi="Arial" w:cs="Arial"/>
          <w:sz w:val="16"/>
          <w:szCs w:val="16"/>
        </w:rPr>
        <w:tab/>
      </w:r>
      <w:r w:rsidR="00A5470C" w:rsidRPr="004302E2">
        <w:rPr>
          <w:rFonts w:ascii="Arial" w:hAnsi="Arial" w:cs="Arial"/>
          <w:sz w:val="16"/>
          <w:szCs w:val="16"/>
          <w:lang w:val="es-PE"/>
        </w:rPr>
        <w:t>2</w:t>
      </w:r>
      <w:r w:rsidRPr="004302E2">
        <w:rPr>
          <w:rFonts w:ascii="Arial" w:hAnsi="Arial" w:cs="Arial"/>
          <w:sz w:val="16"/>
          <w:szCs w:val="16"/>
          <w:lang w:val="es-PE"/>
        </w:rPr>
        <w:t xml:space="preserve">.- </w:t>
      </w:r>
      <w:r w:rsidR="00F12184" w:rsidRPr="004302E2">
        <w:rPr>
          <w:rFonts w:ascii="Arial" w:hAnsi="Arial" w:cs="Arial"/>
          <w:sz w:val="16"/>
          <w:szCs w:val="16"/>
          <w:lang w:val="es-PE"/>
        </w:rPr>
        <w:t>RJ. N°022-2019-AGN/J - DIRECTIVA N°02-2019-AGN/DDPA (TRANSFERENCIA)</w:t>
      </w:r>
    </w:p>
    <w:p w:rsidR="00637AE1" w:rsidRPr="004302E2" w:rsidRDefault="00637AE1" w:rsidP="00637AE1">
      <w:pPr>
        <w:ind w:left="0" w:firstLine="0"/>
        <w:jc w:val="left"/>
        <w:rPr>
          <w:rFonts w:ascii="Arial" w:hAnsi="Arial" w:cs="Arial"/>
          <w:sz w:val="16"/>
          <w:szCs w:val="16"/>
        </w:rPr>
      </w:pPr>
      <w:r w:rsidRPr="004302E2">
        <w:rPr>
          <w:rFonts w:ascii="Arial" w:hAnsi="Arial" w:cs="Arial"/>
          <w:sz w:val="16"/>
          <w:szCs w:val="16"/>
          <w:lang w:val="es-PE"/>
        </w:rPr>
        <w:tab/>
        <w:t xml:space="preserve">  </w:t>
      </w:r>
      <w:r w:rsidR="00F12184" w:rsidRPr="004302E2">
        <w:rPr>
          <w:rFonts w:ascii="Arial" w:hAnsi="Arial" w:cs="Arial"/>
          <w:sz w:val="16"/>
          <w:szCs w:val="16"/>
          <w:lang w:val="es-PE"/>
        </w:rPr>
        <w:tab/>
      </w:r>
      <w:r w:rsidR="00F12184" w:rsidRPr="004302E2">
        <w:rPr>
          <w:rFonts w:ascii="Arial" w:hAnsi="Arial" w:cs="Arial"/>
          <w:sz w:val="16"/>
          <w:szCs w:val="16"/>
          <w:lang w:val="es-PE"/>
        </w:rPr>
        <w:tab/>
      </w:r>
      <w:r w:rsidR="00A5470C" w:rsidRPr="004302E2">
        <w:rPr>
          <w:rFonts w:ascii="Arial" w:hAnsi="Arial" w:cs="Arial"/>
          <w:sz w:val="16"/>
          <w:szCs w:val="16"/>
          <w:lang w:val="es-PE"/>
        </w:rPr>
        <w:t>3</w:t>
      </w:r>
      <w:r w:rsidRPr="004302E2">
        <w:rPr>
          <w:rFonts w:ascii="Arial" w:hAnsi="Arial" w:cs="Arial"/>
          <w:sz w:val="16"/>
          <w:szCs w:val="16"/>
          <w:lang w:val="es-PE"/>
        </w:rPr>
        <w:t xml:space="preserve">.- </w:t>
      </w:r>
      <w:r w:rsidR="00F12184" w:rsidRPr="004302E2">
        <w:rPr>
          <w:rFonts w:ascii="Arial" w:hAnsi="Arial" w:cs="Arial"/>
          <w:sz w:val="16"/>
          <w:szCs w:val="16"/>
          <w:lang w:val="es-PE"/>
        </w:rPr>
        <w:t>RJ. N°028-2019-AGN/J - DIRECTIVA N°08-2019-AGN/DDPA (CONTROL DE DOC.)</w:t>
      </w:r>
    </w:p>
    <w:p w:rsidR="00637AE1" w:rsidRPr="004302E2" w:rsidRDefault="00637AE1" w:rsidP="00637AE1">
      <w:pPr>
        <w:ind w:left="0" w:firstLine="0"/>
        <w:jc w:val="left"/>
        <w:rPr>
          <w:rFonts w:ascii="Arial" w:hAnsi="Arial" w:cs="Arial"/>
          <w:sz w:val="16"/>
          <w:szCs w:val="16"/>
          <w:lang w:val="es-PE"/>
        </w:rPr>
      </w:pPr>
      <w:r w:rsidRPr="004302E2">
        <w:rPr>
          <w:rFonts w:ascii="Arial" w:hAnsi="Arial" w:cs="Arial"/>
          <w:sz w:val="16"/>
          <w:szCs w:val="16"/>
        </w:rPr>
        <w:tab/>
      </w:r>
      <w:r w:rsidR="00A5470C" w:rsidRPr="004302E2">
        <w:rPr>
          <w:rFonts w:ascii="Arial" w:hAnsi="Arial" w:cs="Arial"/>
          <w:sz w:val="16"/>
          <w:szCs w:val="16"/>
        </w:rPr>
        <w:t xml:space="preserve">  </w:t>
      </w:r>
      <w:r w:rsidR="00F12184" w:rsidRPr="004302E2">
        <w:rPr>
          <w:rFonts w:ascii="Arial" w:hAnsi="Arial" w:cs="Arial"/>
          <w:sz w:val="16"/>
          <w:szCs w:val="16"/>
        </w:rPr>
        <w:tab/>
      </w:r>
      <w:r w:rsidR="00F12184" w:rsidRPr="004302E2">
        <w:rPr>
          <w:rFonts w:ascii="Arial" w:hAnsi="Arial" w:cs="Arial"/>
          <w:sz w:val="16"/>
          <w:szCs w:val="16"/>
        </w:rPr>
        <w:tab/>
      </w:r>
      <w:r w:rsidR="00A5470C" w:rsidRPr="004302E2">
        <w:rPr>
          <w:rFonts w:ascii="Arial" w:hAnsi="Arial" w:cs="Arial"/>
          <w:sz w:val="16"/>
          <w:szCs w:val="16"/>
          <w:lang w:val="es-PE"/>
        </w:rPr>
        <w:t>4</w:t>
      </w:r>
      <w:r w:rsidRPr="004302E2">
        <w:rPr>
          <w:rFonts w:ascii="Arial" w:hAnsi="Arial" w:cs="Arial"/>
          <w:sz w:val="16"/>
          <w:szCs w:val="16"/>
          <w:lang w:val="es-PE"/>
        </w:rPr>
        <w:t xml:space="preserve">.- </w:t>
      </w:r>
      <w:r w:rsidR="00F12184" w:rsidRPr="004302E2">
        <w:rPr>
          <w:rFonts w:ascii="Arial" w:hAnsi="Arial" w:cs="Arial"/>
          <w:sz w:val="16"/>
          <w:szCs w:val="16"/>
          <w:lang w:val="es-PE"/>
        </w:rPr>
        <w:t>RJ. N°242-2018-AGN/J - DIRECTIVA N°01-2018-AGN/DAI (ELIMINACIÓN DOC.)</w:t>
      </w:r>
    </w:p>
    <w:p w:rsidR="00A5470C" w:rsidRPr="004302E2" w:rsidRDefault="00A5470C" w:rsidP="00A5470C">
      <w:pPr>
        <w:ind w:left="0" w:firstLine="0"/>
        <w:jc w:val="left"/>
        <w:rPr>
          <w:rFonts w:ascii="Arial" w:hAnsi="Arial" w:cs="Arial"/>
          <w:sz w:val="16"/>
          <w:szCs w:val="16"/>
        </w:rPr>
      </w:pPr>
      <w:r w:rsidRPr="004302E2">
        <w:rPr>
          <w:rFonts w:ascii="Arial" w:hAnsi="Arial" w:cs="Arial"/>
          <w:sz w:val="16"/>
          <w:szCs w:val="16"/>
          <w:lang w:val="es-PE"/>
        </w:rPr>
        <w:tab/>
        <w:t xml:space="preserve">  </w:t>
      </w:r>
      <w:r w:rsidR="00F12184" w:rsidRPr="004302E2">
        <w:rPr>
          <w:rFonts w:ascii="Arial" w:hAnsi="Arial" w:cs="Arial"/>
          <w:sz w:val="16"/>
          <w:szCs w:val="16"/>
          <w:lang w:val="es-PE"/>
        </w:rPr>
        <w:tab/>
      </w:r>
      <w:r w:rsidR="00F12184" w:rsidRPr="004302E2">
        <w:rPr>
          <w:rFonts w:ascii="Arial" w:hAnsi="Arial" w:cs="Arial"/>
          <w:sz w:val="16"/>
          <w:szCs w:val="16"/>
          <w:lang w:val="es-PE"/>
        </w:rPr>
        <w:tab/>
      </w:r>
      <w:r w:rsidRPr="004302E2">
        <w:rPr>
          <w:rFonts w:ascii="Arial" w:hAnsi="Arial" w:cs="Arial"/>
          <w:sz w:val="16"/>
          <w:szCs w:val="16"/>
        </w:rPr>
        <w:t xml:space="preserve">5.- </w:t>
      </w:r>
      <w:r w:rsidR="006F7BE1" w:rsidRPr="004302E2">
        <w:rPr>
          <w:rFonts w:ascii="Arial" w:hAnsi="Arial" w:cs="Arial"/>
          <w:sz w:val="16"/>
          <w:szCs w:val="16"/>
        </w:rPr>
        <w:t xml:space="preserve">RJ. N°442-2014-AGN/J - </w:t>
      </w:r>
      <w:r w:rsidR="00F12184" w:rsidRPr="004302E2">
        <w:rPr>
          <w:rFonts w:ascii="Arial" w:hAnsi="Arial" w:cs="Arial"/>
          <w:sz w:val="16"/>
          <w:szCs w:val="16"/>
        </w:rPr>
        <w:t>RJ N°189</w:t>
      </w:r>
      <w:r w:rsidR="006F7BE1" w:rsidRPr="004302E2">
        <w:rPr>
          <w:rFonts w:ascii="Arial" w:hAnsi="Arial" w:cs="Arial"/>
          <w:sz w:val="16"/>
          <w:szCs w:val="16"/>
        </w:rPr>
        <w:t>-2019-AGN/J – (APLICACIÓN DE SANCIONES)</w:t>
      </w:r>
    </w:p>
    <w:p w:rsidR="00A5470C" w:rsidRPr="004302E2" w:rsidRDefault="00A5470C" w:rsidP="00A5470C">
      <w:pPr>
        <w:ind w:left="0" w:firstLine="0"/>
        <w:jc w:val="left"/>
        <w:rPr>
          <w:rFonts w:ascii="Arial" w:hAnsi="Arial" w:cs="Arial"/>
          <w:sz w:val="16"/>
          <w:szCs w:val="16"/>
        </w:rPr>
      </w:pPr>
      <w:r w:rsidRPr="004302E2">
        <w:rPr>
          <w:rFonts w:ascii="Arial" w:hAnsi="Arial" w:cs="Arial"/>
          <w:sz w:val="16"/>
          <w:szCs w:val="16"/>
        </w:rPr>
        <w:tab/>
        <w:t xml:space="preserve">  </w:t>
      </w:r>
      <w:r w:rsidR="006F7BE1" w:rsidRPr="004302E2">
        <w:rPr>
          <w:rFonts w:ascii="Arial" w:hAnsi="Arial" w:cs="Arial"/>
          <w:sz w:val="16"/>
          <w:szCs w:val="16"/>
        </w:rPr>
        <w:tab/>
      </w:r>
      <w:r w:rsidR="006F7BE1" w:rsidRPr="004302E2">
        <w:rPr>
          <w:rFonts w:ascii="Arial" w:hAnsi="Arial" w:cs="Arial"/>
          <w:sz w:val="16"/>
          <w:szCs w:val="16"/>
        </w:rPr>
        <w:tab/>
      </w:r>
      <w:r w:rsidRPr="004302E2">
        <w:rPr>
          <w:rFonts w:ascii="Arial" w:hAnsi="Arial" w:cs="Arial"/>
          <w:sz w:val="16"/>
          <w:szCs w:val="16"/>
        </w:rPr>
        <w:t>6.- CIRCULAR N° 0</w:t>
      </w:r>
      <w:r w:rsidR="006F7BE1" w:rsidRPr="004302E2">
        <w:rPr>
          <w:rFonts w:ascii="Arial" w:hAnsi="Arial" w:cs="Arial"/>
          <w:sz w:val="16"/>
          <w:szCs w:val="16"/>
        </w:rPr>
        <w:t xml:space="preserve">01-2021-HNHU-L/E, DE 21/06/2021 (CUMPLIMIENTO </w:t>
      </w:r>
      <w:r w:rsidR="008E52CB">
        <w:rPr>
          <w:rFonts w:ascii="Arial" w:hAnsi="Arial" w:cs="Arial"/>
          <w:sz w:val="16"/>
          <w:szCs w:val="16"/>
        </w:rPr>
        <w:t xml:space="preserve">DE </w:t>
      </w:r>
      <w:r w:rsidR="006F7BE1" w:rsidRPr="004302E2">
        <w:rPr>
          <w:rFonts w:ascii="Arial" w:hAnsi="Arial" w:cs="Arial"/>
          <w:sz w:val="16"/>
          <w:szCs w:val="16"/>
        </w:rPr>
        <w:t>NORMAS)</w:t>
      </w:r>
    </w:p>
    <w:p w:rsidR="00A5470C" w:rsidRPr="004302E2" w:rsidRDefault="00A5470C" w:rsidP="00A5470C">
      <w:pPr>
        <w:ind w:left="0" w:firstLine="0"/>
        <w:jc w:val="left"/>
        <w:rPr>
          <w:rFonts w:ascii="Arial" w:hAnsi="Arial" w:cs="Arial"/>
          <w:sz w:val="16"/>
          <w:szCs w:val="16"/>
        </w:rPr>
      </w:pPr>
    </w:p>
    <w:p w:rsidR="00A5470C" w:rsidRPr="00A5470C" w:rsidRDefault="006F7BE1" w:rsidP="00A5470C">
      <w:pPr>
        <w:ind w:left="0" w:firstLine="0"/>
        <w:jc w:val="left"/>
        <w:rPr>
          <w:rFonts w:ascii="Arial" w:hAnsi="Arial" w:cs="Arial"/>
          <w:sz w:val="18"/>
          <w:szCs w:val="18"/>
        </w:rPr>
      </w:pPr>
      <w:r w:rsidRPr="004302E2">
        <w:rPr>
          <w:rFonts w:ascii="Arial" w:hAnsi="Arial" w:cs="Arial"/>
          <w:sz w:val="16"/>
          <w:szCs w:val="16"/>
        </w:rPr>
        <w:t>FECHA</w:t>
      </w:r>
      <w:r w:rsidR="00A5470C" w:rsidRPr="004302E2">
        <w:rPr>
          <w:rFonts w:ascii="Arial" w:hAnsi="Arial" w:cs="Arial"/>
          <w:sz w:val="16"/>
          <w:szCs w:val="16"/>
        </w:rPr>
        <w:tab/>
      </w:r>
      <w:r w:rsidRPr="004302E2">
        <w:rPr>
          <w:rFonts w:ascii="Arial" w:hAnsi="Arial" w:cs="Arial"/>
          <w:sz w:val="16"/>
          <w:szCs w:val="16"/>
        </w:rPr>
        <w:tab/>
      </w:r>
      <w:r w:rsidR="00A5470C" w:rsidRPr="004302E2">
        <w:rPr>
          <w:rFonts w:ascii="Arial" w:hAnsi="Arial" w:cs="Arial"/>
          <w:sz w:val="16"/>
          <w:szCs w:val="16"/>
        </w:rPr>
        <w:t xml:space="preserve">: </w:t>
      </w:r>
      <w:r w:rsidRPr="004302E2">
        <w:rPr>
          <w:rFonts w:ascii="Arial" w:hAnsi="Arial" w:cs="Arial"/>
          <w:sz w:val="16"/>
          <w:szCs w:val="16"/>
        </w:rPr>
        <w:tab/>
        <w:t xml:space="preserve">EL AGUSTINO, </w:t>
      </w:r>
      <w:r w:rsidR="00A30707">
        <w:rPr>
          <w:rFonts w:ascii="Arial" w:hAnsi="Arial" w:cs="Arial"/>
          <w:sz w:val="16"/>
          <w:szCs w:val="16"/>
        </w:rPr>
        <w:t>JUEV</w:t>
      </w:r>
      <w:r w:rsidRPr="004302E2">
        <w:rPr>
          <w:rFonts w:ascii="Arial" w:hAnsi="Arial" w:cs="Arial"/>
          <w:sz w:val="16"/>
          <w:szCs w:val="16"/>
        </w:rPr>
        <w:t xml:space="preserve">ES </w:t>
      </w:r>
      <w:r w:rsidR="00A30707">
        <w:rPr>
          <w:rFonts w:ascii="Arial" w:hAnsi="Arial" w:cs="Arial"/>
          <w:sz w:val="16"/>
          <w:szCs w:val="16"/>
        </w:rPr>
        <w:t>30</w:t>
      </w:r>
      <w:r w:rsidR="00BC1C3D">
        <w:rPr>
          <w:rFonts w:ascii="Arial" w:hAnsi="Arial" w:cs="Arial"/>
          <w:sz w:val="16"/>
          <w:szCs w:val="16"/>
        </w:rPr>
        <w:t xml:space="preserve"> </w:t>
      </w:r>
      <w:r w:rsidRPr="004302E2">
        <w:rPr>
          <w:rFonts w:ascii="Arial" w:hAnsi="Arial" w:cs="Arial"/>
          <w:sz w:val="16"/>
          <w:szCs w:val="16"/>
        </w:rPr>
        <w:t xml:space="preserve">DE </w:t>
      </w:r>
      <w:r w:rsidR="00A30707">
        <w:rPr>
          <w:rFonts w:ascii="Arial" w:hAnsi="Arial" w:cs="Arial"/>
          <w:sz w:val="16"/>
          <w:szCs w:val="16"/>
        </w:rPr>
        <w:t>JUNI</w:t>
      </w:r>
      <w:r w:rsidRPr="004302E2">
        <w:rPr>
          <w:rFonts w:ascii="Arial" w:hAnsi="Arial" w:cs="Arial"/>
          <w:sz w:val="16"/>
          <w:szCs w:val="16"/>
        </w:rPr>
        <w:t>O DEL 202</w:t>
      </w:r>
      <w:r w:rsidR="00EB55E3">
        <w:rPr>
          <w:rFonts w:ascii="Arial" w:hAnsi="Arial" w:cs="Arial"/>
          <w:sz w:val="16"/>
          <w:szCs w:val="16"/>
        </w:rPr>
        <w:t>2</w:t>
      </w:r>
      <w:r w:rsidRPr="004302E2">
        <w:rPr>
          <w:rFonts w:ascii="Arial" w:hAnsi="Arial" w:cs="Arial"/>
          <w:sz w:val="16"/>
          <w:szCs w:val="16"/>
        </w:rPr>
        <w:tab/>
      </w:r>
      <w:r w:rsidRPr="004302E2">
        <w:rPr>
          <w:rFonts w:ascii="Arial" w:hAnsi="Arial" w:cs="Arial"/>
          <w:sz w:val="16"/>
          <w:szCs w:val="16"/>
        </w:rPr>
        <w:tab/>
      </w:r>
      <w:r w:rsidRPr="004302E2">
        <w:rPr>
          <w:rFonts w:ascii="Arial" w:hAnsi="Arial" w:cs="Arial"/>
          <w:sz w:val="16"/>
          <w:szCs w:val="16"/>
        </w:rPr>
        <w:tab/>
        <w:t>EXP. 2</w:t>
      </w:r>
      <w:r w:rsidR="00EB55E3">
        <w:rPr>
          <w:rFonts w:ascii="Arial" w:hAnsi="Arial" w:cs="Arial"/>
          <w:sz w:val="16"/>
          <w:szCs w:val="16"/>
        </w:rPr>
        <w:t>2</w:t>
      </w:r>
      <w:r w:rsidRPr="004302E2">
        <w:rPr>
          <w:rFonts w:ascii="Arial" w:hAnsi="Arial" w:cs="Arial"/>
          <w:sz w:val="16"/>
          <w:szCs w:val="16"/>
        </w:rPr>
        <w:t xml:space="preserve">- </w:t>
      </w:r>
      <w:r w:rsidR="00A30707">
        <w:rPr>
          <w:rFonts w:ascii="Arial" w:hAnsi="Arial" w:cs="Arial"/>
          <w:sz w:val="16"/>
          <w:szCs w:val="16"/>
        </w:rPr>
        <w:t>26738</w:t>
      </w:r>
      <w:r w:rsidR="00AE01B2">
        <w:rPr>
          <w:rFonts w:ascii="Arial" w:hAnsi="Arial" w:cs="Arial"/>
          <w:sz w:val="16"/>
          <w:szCs w:val="16"/>
        </w:rPr>
        <w:t xml:space="preserve">  </w:t>
      </w:r>
    </w:p>
    <w:p w:rsidR="00637AE1" w:rsidRDefault="00A5470C" w:rsidP="00637AE1">
      <w:pPr>
        <w:ind w:left="0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</w:t>
      </w:r>
      <w:r w:rsidR="0001786A">
        <w:rPr>
          <w:rFonts w:ascii="Arial" w:hAnsi="Arial" w:cs="Arial"/>
          <w:sz w:val="20"/>
          <w:szCs w:val="20"/>
        </w:rPr>
        <w:t>--------</w:t>
      </w:r>
    </w:p>
    <w:p w:rsidR="00493454" w:rsidRPr="0026033F" w:rsidRDefault="006F7BE1" w:rsidP="002227D2">
      <w:pPr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 </w:t>
      </w:r>
      <w:r w:rsidR="00493454" w:rsidRPr="0026033F">
        <w:rPr>
          <w:rFonts w:ascii="Arial" w:hAnsi="Arial" w:cs="Arial"/>
          <w:sz w:val="18"/>
          <w:szCs w:val="18"/>
        </w:rPr>
        <w:t xml:space="preserve">urgente </w:t>
      </w:r>
      <w:r>
        <w:rPr>
          <w:rFonts w:ascii="Arial" w:hAnsi="Arial" w:cs="Arial"/>
          <w:sz w:val="18"/>
          <w:szCs w:val="18"/>
        </w:rPr>
        <w:t xml:space="preserve">recordar a las distintas Oficinas, Servicios, Unidades, Departamentos y Direcciones del </w:t>
      </w:r>
      <w:r w:rsidR="00493454" w:rsidRPr="0026033F">
        <w:rPr>
          <w:rFonts w:ascii="Arial" w:hAnsi="Arial" w:cs="Arial"/>
          <w:sz w:val="18"/>
          <w:szCs w:val="18"/>
        </w:rPr>
        <w:t>Hospital Nacional Hipólito Unanue</w:t>
      </w:r>
      <w:r>
        <w:rPr>
          <w:rFonts w:ascii="Arial" w:hAnsi="Arial" w:cs="Arial"/>
          <w:sz w:val="18"/>
          <w:szCs w:val="18"/>
        </w:rPr>
        <w:t xml:space="preserve">, revisen el circular y los antecedentes </w:t>
      </w:r>
      <w:r w:rsidR="00493454" w:rsidRPr="0026033F">
        <w:rPr>
          <w:rFonts w:ascii="Arial" w:hAnsi="Arial" w:cs="Arial"/>
          <w:sz w:val="18"/>
          <w:szCs w:val="18"/>
        </w:rPr>
        <w:t>de la referencia, de a</w:t>
      </w:r>
      <w:r>
        <w:rPr>
          <w:rFonts w:ascii="Arial" w:hAnsi="Arial" w:cs="Arial"/>
          <w:sz w:val="18"/>
          <w:szCs w:val="18"/>
        </w:rPr>
        <w:t xml:space="preserve">cuerdo al procedimiento </w:t>
      </w:r>
      <w:r w:rsidR="00493454" w:rsidRPr="0026033F">
        <w:rPr>
          <w:rFonts w:ascii="Arial" w:hAnsi="Arial" w:cs="Arial"/>
          <w:sz w:val="18"/>
          <w:szCs w:val="18"/>
        </w:rPr>
        <w:t xml:space="preserve">a seguir, </w:t>
      </w:r>
      <w:r w:rsidR="00493454" w:rsidRPr="006F7BE1">
        <w:rPr>
          <w:rFonts w:ascii="Arial" w:hAnsi="Arial" w:cs="Arial"/>
          <w:sz w:val="18"/>
          <w:szCs w:val="18"/>
          <w:u w:val="single"/>
        </w:rPr>
        <w:t>cuyo cumplimiento es de carácter obligatorio a nivel institucional</w:t>
      </w:r>
      <w:r w:rsidR="00493454" w:rsidRPr="0026033F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Se viene observando falta de atención en varios de los archivos de</w:t>
      </w:r>
      <w:r w:rsidR="002227D2">
        <w:rPr>
          <w:rFonts w:ascii="Arial" w:hAnsi="Arial" w:cs="Arial"/>
          <w:sz w:val="18"/>
          <w:szCs w:val="18"/>
        </w:rPr>
        <w:t xml:space="preserve"> la institución y en un hospital no debe existir este tipo de omisión, ya sea por ignorancia o descuido, por el bienestar del paciente y trabajador.</w:t>
      </w:r>
    </w:p>
    <w:p w:rsidR="00493454" w:rsidRPr="0026033F" w:rsidRDefault="00493454" w:rsidP="00650249">
      <w:pPr>
        <w:ind w:left="0" w:firstLine="0"/>
        <w:jc w:val="both"/>
        <w:rPr>
          <w:rFonts w:ascii="Arial" w:hAnsi="Arial" w:cs="Arial"/>
          <w:sz w:val="18"/>
          <w:szCs w:val="18"/>
        </w:rPr>
      </w:pPr>
      <w:r w:rsidRPr="0026033F">
        <w:rPr>
          <w:rFonts w:ascii="Arial" w:hAnsi="Arial" w:cs="Arial"/>
          <w:sz w:val="18"/>
          <w:szCs w:val="18"/>
        </w:rPr>
        <w:t>La razón fundamental e</w:t>
      </w:r>
      <w:r w:rsidR="00C9591D">
        <w:rPr>
          <w:rFonts w:ascii="Arial" w:hAnsi="Arial" w:cs="Arial"/>
          <w:sz w:val="18"/>
          <w:szCs w:val="18"/>
        </w:rPr>
        <w:t xml:space="preserve">s que a pesar de la existencia </w:t>
      </w:r>
      <w:r w:rsidRPr="0026033F">
        <w:rPr>
          <w:rFonts w:ascii="Arial" w:hAnsi="Arial" w:cs="Arial"/>
          <w:sz w:val="18"/>
          <w:szCs w:val="18"/>
        </w:rPr>
        <w:t>de dichas normas de Transferencia y Conservación, algunas Unidades Orgánicas persisten en mantener documenta</w:t>
      </w:r>
      <w:r w:rsidR="00B11B66">
        <w:rPr>
          <w:rFonts w:ascii="Arial" w:hAnsi="Arial" w:cs="Arial"/>
          <w:sz w:val="18"/>
          <w:szCs w:val="18"/>
        </w:rPr>
        <w:t xml:space="preserve">ción de 2 años </w:t>
      </w:r>
      <w:r w:rsidR="002227D2">
        <w:rPr>
          <w:rFonts w:ascii="Arial" w:hAnsi="Arial" w:cs="Arial"/>
          <w:sz w:val="18"/>
          <w:szCs w:val="18"/>
        </w:rPr>
        <w:t xml:space="preserve">de antigüedad </w:t>
      </w:r>
      <w:r w:rsidR="00B11B66">
        <w:rPr>
          <w:rFonts w:ascii="Arial" w:hAnsi="Arial" w:cs="Arial"/>
          <w:sz w:val="18"/>
          <w:szCs w:val="18"/>
        </w:rPr>
        <w:t>a más, la misma que se encuentra</w:t>
      </w:r>
      <w:r w:rsidRPr="0026033F">
        <w:rPr>
          <w:rFonts w:ascii="Arial" w:hAnsi="Arial" w:cs="Arial"/>
          <w:sz w:val="18"/>
          <w:szCs w:val="18"/>
        </w:rPr>
        <w:t xml:space="preserve"> en lugares ina</w:t>
      </w:r>
      <w:r w:rsidR="00FC6389" w:rsidRPr="0026033F">
        <w:rPr>
          <w:rFonts w:ascii="Arial" w:hAnsi="Arial" w:cs="Arial"/>
          <w:sz w:val="18"/>
          <w:szCs w:val="18"/>
        </w:rPr>
        <w:t>decuados, sin la más mínima condición de resguardo, con riesgo de deterioro y perdida de la información emitida.</w:t>
      </w:r>
    </w:p>
    <w:p w:rsidR="00FC6389" w:rsidRDefault="00FC6389" w:rsidP="00650249">
      <w:pPr>
        <w:ind w:left="0" w:firstLine="0"/>
        <w:jc w:val="both"/>
        <w:rPr>
          <w:rFonts w:ascii="Arial" w:hAnsi="Arial" w:cs="Arial"/>
          <w:sz w:val="18"/>
          <w:szCs w:val="18"/>
        </w:rPr>
      </w:pPr>
      <w:r w:rsidRPr="0026033F">
        <w:rPr>
          <w:rFonts w:ascii="Arial" w:hAnsi="Arial" w:cs="Arial"/>
          <w:sz w:val="18"/>
          <w:szCs w:val="18"/>
        </w:rPr>
        <w:t xml:space="preserve">Existen Unidades Orgánicas que tienen archivos fuera de sus ambientes, ubicándolos en lugares inapropiados, como en los </w:t>
      </w:r>
      <w:r w:rsidR="00A30707">
        <w:rPr>
          <w:rFonts w:ascii="Arial" w:hAnsi="Arial" w:cs="Arial"/>
          <w:sz w:val="18"/>
          <w:szCs w:val="18"/>
        </w:rPr>
        <w:t xml:space="preserve">techos, </w:t>
      </w:r>
      <w:r w:rsidRPr="0026033F">
        <w:rPr>
          <w:rFonts w:ascii="Arial" w:hAnsi="Arial" w:cs="Arial"/>
          <w:sz w:val="18"/>
          <w:szCs w:val="18"/>
        </w:rPr>
        <w:t>pasadizos del sótano, debajo de las escaleras,</w:t>
      </w:r>
      <w:r w:rsidR="00A30707">
        <w:rPr>
          <w:rFonts w:ascii="Arial" w:hAnsi="Arial" w:cs="Arial"/>
          <w:sz w:val="18"/>
          <w:szCs w:val="18"/>
        </w:rPr>
        <w:t xml:space="preserve"> </w:t>
      </w:r>
      <w:r w:rsidRPr="0026033F">
        <w:rPr>
          <w:rFonts w:ascii="Arial" w:hAnsi="Arial" w:cs="Arial"/>
          <w:sz w:val="18"/>
          <w:szCs w:val="18"/>
        </w:rPr>
        <w:t>exponiéndolos al agua que con frecuencia gotea de las tuberías, así como, al deterioro y la degradación de las hojas prod</w:t>
      </w:r>
      <w:r w:rsidR="002227D2">
        <w:rPr>
          <w:rFonts w:ascii="Arial" w:hAnsi="Arial" w:cs="Arial"/>
          <w:sz w:val="18"/>
          <w:szCs w:val="18"/>
        </w:rPr>
        <w:t>ucto del polvo, humedad, descuid</w:t>
      </w:r>
      <w:r w:rsidRPr="0026033F">
        <w:rPr>
          <w:rFonts w:ascii="Arial" w:hAnsi="Arial" w:cs="Arial"/>
          <w:sz w:val="18"/>
          <w:szCs w:val="18"/>
        </w:rPr>
        <w:t>o. Dejándolos en abandono</w:t>
      </w:r>
      <w:r w:rsidR="00607897">
        <w:rPr>
          <w:rFonts w:ascii="Arial" w:hAnsi="Arial" w:cs="Arial"/>
          <w:sz w:val="18"/>
          <w:szCs w:val="18"/>
        </w:rPr>
        <w:t>,</w:t>
      </w:r>
      <w:r w:rsidRPr="0026033F">
        <w:rPr>
          <w:rFonts w:ascii="Arial" w:hAnsi="Arial" w:cs="Arial"/>
          <w:sz w:val="18"/>
          <w:szCs w:val="18"/>
        </w:rPr>
        <w:t xml:space="preserve"> </w:t>
      </w:r>
      <w:r w:rsidR="002227D2">
        <w:rPr>
          <w:rFonts w:ascii="Arial" w:hAnsi="Arial" w:cs="Arial"/>
          <w:sz w:val="18"/>
          <w:szCs w:val="18"/>
        </w:rPr>
        <w:t>sin cumplir</w:t>
      </w:r>
      <w:r w:rsidR="00C9591D">
        <w:rPr>
          <w:rFonts w:ascii="Arial" w:hAnsi="Arial" w:cs="Arial"/>
          <w:sz w:val="18"/>
          <w:szCs w:val="18"/>
        </w:rPr>
        <w:t xml:space="preserve"> los procedimientos </w:t>
      </w:r>
      <w:r w:rsidR="00607897">
        <w:rPr>
          <w:rFonts w:ascii="Arial" w:hAnsi="Arial" w:cs="Arial"/>
          <w:sz w:val="18"/>
          <w:szCs w:val="18"/>
        </w:rPr>
        <w:t>mínimos, establecidos y comunicados en reiteradas ocasiones, omitiendo también los periodos de retención (2 años).</w:t>
      </w:r>
    </w:p>
    <w:p w:rsidR="00650249" w:rsidRPr="0026033F" w:rsidRDefault="00607897" w:rsidP="004302E2">
      <w:pPr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Así mismo, se ha notado que se está archivando en las mismas oficinas y en lugares cerrados como cuartos, contenedores, ambientes sin los requisitos mínimos de conservación, acumulando cajas (de hasta 6 cajas a más) una sobre otra, generando el deterioro de las mismas y de la documentación que almacena, obstaculizando la ubicación y manejo rápido de los documentos, ocasionando acumulación de ácaros, </w:t>
      </w:r>
      <w:r w:rsidR="000E6BE8">
        <w:rPr>
          <w:rFonts w:ascii="Arial" w:hAnsi="Arial" w:cs="Arial"/>
          <w:sz w:val="18"/>
          <w:szCs w:val="18"/>
        </w:rPr>
        <w:t>hong</w:t>
      </w:r>
      <w:r w:rsidR="00446008">
        <w:rPr>
          <w:rFonts w:ascii="Arial" w:hAnsi="Arial" w:cs="Arial"/>
          <w:sz w:val="18"/>
          <w:szCs w:val="18"/>
        </w:rPr>
        <w:t>os, etc., así como, el peligro in</w:t>
      </w:r>
      <w:r w:rsidR="000E6BE8">
        <w:rPr>
          <w:rFonts w:ascii="Arial" w:hAnsi="Arial" w:cs="Arial"/>
          <w:sz w:val="18"/>
          <w:szCs w:val="18"/>
        </w:rPr>
        <w:t>minente ante un sismo por no tener en cuenta las normas establecidas.</w:t>
      </w:r>
    </w:p>
    <w:p w:rsidR="00650249" w:rsidRDefault="00650249" w:rsidP="00650249">
      <w:pPr>
        <w:ind w:left="0" w:firstLine="0"/>
        <w:jc w:val="both"/>
        <w:rPr>
          <w:rFonts w:ascii="Arial" w:hAnsi="Arial" w:cs="Arial"/>
          <w:sz w:val="18"/>
          <w:szCs w:val="18"/>
        </w:rPr>
      </w:pPr>
      <w:r w:rsidRPr="0026033F">
        <w:rPr>
          <w:rFonts w:ascii="Arial" w:hAnsi="Arial" w:cs="Arial"/>
          <w:sz w:val="18"/>
          <w:szCs w:val="18"/>
        </w:rPr>
        <w:t xml:space="preserve">Es importante aclarar que, </w:t>
      </w:r>
      <w:r w:rsidRPr="0026033F">
        <w:rPr>
          <w:rFonts w:ascii="Arial" w:hAnsi="Arial" w:cs="Arial"/>
          <w:b/>
          <w:i/>
          <w:sz w:val="18"/>
          <w:szCs w:val="18"/>
          <w:u w:val="single"/>
        </w:rPr>
        <w:t xml:space="preserve">ningún trabajador de la institución </w:t>
      </w:r>
      <w:r w:rsidR="000E6BE8">
        <w:rPr>
          <w:rFonts w:ascii="Arial" w:hAnsi="Arial" w:cs="Arial"/>
          <w:b/>
          <w:i/>
          <w:sz w:val="18"/>
          <w:szCs w:val="18"/>
          <w:u w:val="single"/>
        </w:rPr>
        <w:t>y/</w:t>
      </w:r>
      <w:r w:rsidRPr="0026033F">
        <w:rPr>
          <w:rFonts w:ascii="Arial" w:hAnsi="Arial" w:cs="Arial"/>
          <w:b/>
          <w:i/>
          <w:sz w:val="18"/>
          <w:szCs w:val="18"/>
          <w:u w:val="single"/>
        </w:rPr>
        <w:t>o Unidad Orgánica está facultado ni autorizado para eliminar documentos</w:t>
      </w:r>
      <w:r w:rsidRPr="0026033F">
        <w:rPr>
          <w:rFonts w:ascii="Arial" w:hAnsi="Arial" w:cs="Arial"/>
          <w:sz w:val="18"/>
          <w:szCs w:val="18"/>
        </w:rPr>
        <w:t>, por ningún motivo. Si efectúa dicho acto incurrirá en falta bajo aplicación de la</w:t>
      </w:r>
      <w:r w:rsidR="00A30707">
        <w:rPr>
          <w:rFonts w:ascii="Arial" w:hAnsi="Arial" w:cs="Arial"/>
          <w:sz w:val="18"/>
          <w:szCs w:val="18"/>
        </w:rPr>
        <w:t>s</w:t>
      </w:r>
      <w:r w:rsidRPr="0026033F">
        <w:rPr>
          <w:rFonts w:ascii="Arial" w:hAnsi="Arial" w:cs="Arial"/>
          <w:sz w:val="18"/>
          <w:szCs w:val="18"/>
        </w:rPr>
        <w:t xml:space="preserve"> </w:t>
      </w:r>
      <w:r w:rsidR="00A30707">
        <w:rPr>
          <w:rFonts w:ascii="Arial" w:hAnsi="Arial" w:cs="Arial"/>
          <w:sz w:val="18"/>
          <w:szCs w:val="18"/>
        </w:rPr>
        <w:t>normas sancionadoras de acuerdo a Ley.</w:t>
      </w:r>
    </w:p>
    <w:p w:rsidR="00650249" w:rsidRPr="0026033F" w:rsidRDefault="000E6BE8" w:rsidP="00650249">
      <w:pPr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 tiene que observar la Directiva Administrativa N°001-HNHU/DG-V.01. (DIRECTIVA ADMINISTRATIVA DEL PROCEDIMIENTO PARA LA CONSERVACIÓN DE LOS ARCHIVOS ADMINISTRATIVOS DEL HNHU).</w:t>
      </w:r>
    </w:p>
    <w:p w:rsidR="00496B42" w:rsidRDefault="00650249" w:rsidP="00650249">
      <w:pPr>
        <w:ind w:left="0" w:firstLine="0"/>
        <w:jc w:val="both"/>
        <w:rPr>
          <w:rFonts w:ascii="Arial" w:hAnsi="Arial" w:cs="Arial"/>
          <w:sz w:val="18"/>
          <w:szCs w:val="18"/>
        </w:rPr>
      </w:pPr>
      <w:r w:rsidRPr="0026033F">
        <w:rPr>
          <w:rFonts w:ascii="Arial" w:hAnsi="Arial" w:cs="Arial"/>
          <w:b/>
          <w:i/>
          <w:sz w:val="18"/>
          <w:szCs w:val="18"/>
          <w:u w:val="single"/>
        </w:rPr>
        <w:t>Se solicita a las Unidades Orgánicas que emitan la información del inventario de las Series Documentales,</w:t>
      </w:r>
      <w:r w:rsidR="000E6BE8"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  <w:r w:rsidRPr="0026033F">
        <w:rPr>
          <w:rFonts w:ascii="Arial" w:hAnsi="Arial" w:cs="Arial"/>
          <w:sz w:val="18"/>
          <w:szCs w:val="18"/>
        </w:rPr>
        <w:t>de la Directiva Administrativa N° 005-HNHU/DG-v.01, aprobada con la Resolución Directoral N° 394-2014-HNHU-DG, que se encu</w:t>
      </w:r>
      <w:r w:rsidR="000E6BE8">
        <w:rPr>
          <w:rFonts w:ascii="Arial" w:hAnsi="Arial" w:cs="Arial"/>
          <w:sz w:val="18"/>
          <w:szCs w:val="18"/>
        </w:rPr>
        <w:t xml:space="preserve">entra en la </w:t>
      </w:r>
      <w:r w:rsidR="000E6BE8" w:rsidRPr="004302E2">
        <w:rPr>
          <w:rFonts w:ascii="Arial" w:hAnsi="Arial" w:cs="Arial"/>
          <w:b/>
          <w:sz w:val="18"/>
          <w:szCs w:val="18"/>
        </w:rPr>
        <w:t>Página</w:t>
      </w:r>
      <w:r w:rsidR="00A30707">
        <w:rPr>
          <w:rFonts w:ascii="Arial" w:hAnsi="Arial" w:cs="Arial"/>
          <w:b/>
          <w:sz w:val="18"/>
          <w:szCs w:val="18"/>
        </w:rPr>
        <w:t xml:space="preserve"> </w:t>
      </w:r>
      <w:r w:rsidR="00AD490C">
        <w:rPr>
          <w:rFonts w:ascii="Arial" w:hAnsi="Arial" w:cs="Arial"/>
          <w:b/>
          <w:sz w:val="18"/>
          <w:szCs w:val="18"/>
        </w:rPr>
        <w:t>http;//www.hnhu.gob.pe</w:t>
      </w:r>
      <w:r w:rsidR="00A30707">
        <w:rPr>
          <w:rFonts w:ascii="Arial" w:hAnsi="Arial" w:cs="Arial"/>
          <w:b/>
          <w:sz w:val="18"/>
          <w:szCs w:val="18"/>
        </w:rPr>
        <w:t xml:space="preserve"> </w:t>
      </w:r>
      <w:r w:rsidR="000E6BE8" w:rsidRPr="004302E2">
        <w:rPr>
          <w:rFonts w:ascii="Arial" w:hAnsi="Arial" w:cs="Arial"/>
          <w:b/>
          <w:sz w:val="18"/>
          <w:szCs w:val="18"/>
        </w:rPr>
        <w:t>del HNHU</w:t>
      </w:r>
      <w:r w:rsidR="00C9591D">
        <w:rPr>
          <w:rFonts w:ascii="Arial" w:hAnsi="Arial" w:cs="Arial"/>
          <w:b/>
          <w:sz w:val="18"/>
          <w:szCs w:val="18"/>
        </w:rPr>
        <w:t xml:space="preserve">, </w:t>
      </w:r>
      <w:r w:rsidR="00C9591D" w:rsidRPr="00C9591D">
        <w:rPr>
          <w:rFonts w:ascii="Arial" w:hAnsi="Arial" w:cs="Arial"/>
          <w:b/>
          <w:sz w:val="18"/>
          <w:szCs w:val="18"/>
          <w:u w:val="single"/>
        </w:rPr>
        <w:t xml:space="preserve">la misma que año tras año se viene </w:t>
      </w:r>
      <w:r w:rsidR="00A30707">
        <w:rPr>
          <w:rFonts w:ascii="Arial" w:hAnsi="Arial" w:cs="Arial"/>
          <w:b/>
          <w:sz w:val="18"/>
          <w:szCs w:val="18"/>
          <w:u w:val="single"/>
        </w:rPr>
        <w:t>reiteran</w:t>
      </w:r>
      <w:r w:rsidR="00C9591D" w:rsidRPr="00C9591D">
        <w:rPr>
          <w:rFonts w:ascii="Arial" w:hAnsi="Arial" w:cs="Arial"/>
          <w:b/>
          <w:sz w:val="18"/>
          <w:szCs w:val="18"/>
          <w:u w:val="single"/>
        </w:rPr>
        <w:t>do</w:t>
      </w:r>
      <w:r w:rsidR="000E6BE8">
        <w:rPr>
          <w:rFonts w:ascii="Arial" w:hAnsi="Arial" w:cs="Arial"/>
          <w:sz w:val="18"/>
          <w:szCs w:val="18"/>
        </w:rPr>
        <w:t>. Las normas referentes</w:t>
      </w:r>
      <w:r w:rsidR="004302E2">
        <w:rPr>
          <w:rFonts w:ascii="Arial" w:hAnsi="Arial" w:cs="Arial"/>
          <w:sz w:val="18"/>
          <w:szCs w:val="18"/>
        </w:rPr>
        <w:t xml:space="preserve"> a los Archivos de las entidades públicas, que se ubica en el </w:t>
      </w:r>
      <w:r w:rsidR="004302E2" w:rsidRPr="004302E2">
        <w:rPr>
          <w:rFonts w:ascii="Arial" w:hAnsi="Arial" w:cs="Arial"/>
          <w:b/>
          <w:sz w:val="18"/>
          <w:szCs w:val="18"/>
        </w:rPr>
        <w:t>Portal Web del Archivo General de la Nación</w:t>
      </w:r>
      <w:r w:rsidR="004302E2">
        <w:rPr>
          <w:rFonts w:ascii="Arial" w:hAnsi="Arial" w:cs="Arial"/>
          <w:sz w:val="18"/>
          <w:szCs w:val="18"/>
        </w:rPr>
        <w:t xml:space="preserve"> (</w:t>
      </w:r>
      <w:hyperlink r:id="rId6" w:history="1">
        <w:r w:rsidR="004302E2" w:rsidRPr="004529E2">
          <w:rPr>
            <w:rStyle w:val="Hipervnculo"/>
            <w:rFonts w:ascii="Arial" w:hAnsi="Arial" w:cs="Arial"/>
            <w:sz w:val="18"/>
            <w:szCs w:val="18"/>
          </w:rPr>
          <w:t>www.agn.gob.pe</w:t>
        </w:r>
      </w:hyperlink>
      <w:r w:rsidR="004302E2">
        <w:rPr>
          <w:rFonts w:ascii="Arial" w:hAnsi="Arial" w:cs="Arial"/>
          <w:sz w:val="18"/>
          <w:szCs w:val="18"/>
        </w:rPr>
        <w:t>), así como, todos los documentos en mención.</w:t>
      </w:r>
    </w:p>
    <w:p w:rsidR="000C319D" w:rsidRDefault="000C319D" w:rsidP="00650249">
      <w:pPr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 </w:t>
      </w:r>
      <w:r w:rsidRPr="001D6CC5">
        <w:rPr>
          <w:rFonts w:ascii="Arial" w:hAnsi="Arial" w:cs="Arial"/>
          <w:b/>
          <w:sz w:val="18"/>
          <w:szCs w:val="18"/>
        </w:rPr>
        <w:t xml:space="preserve">preciso recalcar que </w:t>
      </w:r>
      <w:r w:rsidR="00446008" w:rsidRPr="001D6CC5">
        <w:rPr>
          <w:rFonts w:ascii="Arial" w:hAnsi="Arial" w:cs="Arial"/>
          <w:b/>
          <w:sz w:val="18"/>
          <w:szCs w:val="18"/>
        </w:rPr>
        <w:t xml:space="preserve">siempre </w:t>
      </w:r>
      <w:r w:rsidRPr="001D6CC5">
        <w:rPr>
          <w:rFonts w:ascii="Arial" w:hAnsi="Arial" w:cs="Arial"/>
          <w:b/>
          <w:sz w:val="18"/>
          <w:szCs w:val="18"/>
        </w:rPr>
        <w:t>se encuentran fallas en las transferencias de documentos</w:t>
      </w:r>
      <w:r>
        <w:rPr>
          <w:rFonts w:ascii="Arial" w:hAnsi="Arial" w:cs="Arial"/>
          <w:sz w:val="18"/>
          <w:szCs w:val="18"/>
        </w:rPr>
        <w:t xml:space="preserve"> y se debe trabajar para corregir y mejorar las mismas. Así mismo, para las futuras transferencias se pedirá que además, del formato en físico</w:t>
      </w:r>
      <w:r w:rsidR="00446008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se envíe de forma digital el “</w:t>
      </w:r>
      <w:r w:rsidR="00446008">
        <w:rPr>
          <w:rFonts w:ascii="Arial" w:hAnsi="Arial" w:cs="Arial"/>
          <w:sz w:val="18"/>
          <w:szCs w:val="18"/>
        </w:rPr>
        <w:t>Anexo 4-Formato N</w:t>
      </w:r>
      <w:r>
        <w:rPr>
          <w:rFonts w:ascii="Arial" w:hAnsi="Arial" w:cs="Arial"/>
          <w:sz w:val="18"/>
          <w:szCs w:val="18"/>
        </w:rPr>
        <w:t>°5”.</w:t>
      </w:r>
    </w:p>
    <w:p w:rsidR="000C2BAB" w:rsidRDefault="004302E2" w:rsidP="00650249">
      <w:pPr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Es necesario, </w:t>
      </w:r>
      <w:r w:rsidRPr="00A73FDF">
        <w:rPr>
          <w:rFonts w:ascii="Arial" w:hAnsi="Arial" w:cs="Arial"/>
          <w:b/>
          <w:sz w:val="18"/>
          <w:szCs w:val="18"/>
          <w:u w:val="single"/>
        </w:rPr>
        <w:t>hacer extensivo a todo el personal a su cargo</w:t>
      </w:r>
      <w:r>
        <w:rPr>
          <w:rFonts w:ascii="Arial" w:hAnsi="Arial" w:cs="Arial"/>
          <w:sz w:val="18"/>
          <w:szCs w:val="18"/>
        </w:rPr>
        <w:t>, bajo responsabilidad.</w:t>
      </w:r>
    </w:p>
    <w:p w:rsidR="004302E2" w:rsidRPr="0026033F" w:rsidRDefault="004302E2" w:rsidP="00650249">
      <w:pPr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Cualquier duda consultar a la Unidad de Administración de Archivos</w:t>
      </w:r>
      <w:r w:rsidR="00EB55E3">
        <w:rPr>
          <w:rFonts w:ascii="Arial" w:hAnsi="Arial" w:cs="Arial"/>
          <w:sz w:val="18"/>
          <w:szCs w:val="18"/>
        </w:rPr>
        <w:t>.</w:t>
      </w:r>
    </w:p>
    <w:p w:rsidR="0026033F" w:rsidRDefault="0026033F" w:rsidP="00650249">
      <w:pPr>
        <w:ind w:left="0" w:firstLine="0"/>
        <w:jc w:val="both"/>
        <w:rPr>
          <w:rFonts w:ascii="Arial" w:hAnsi="Arial" w:cs="Arial"/>
          <w:sz w:val="18"/>
          <w:szCs w:val="18"/>
        </w:rPr>
      </w:pPr>
    </w:p>
    <w:p w:rsidR="00B67658" w:rsidRDefault="00774CEE" w:rsidP="00B67658">
      <w:pPr>
        <w:ind w:left="0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Atentamente,</w:t>
      </w:r>
    </w:p>
    <w:p w:rsidR="00B67658" w:rsidRDefault="00B67658" w:rsidP="00B67658">
      <w:pPr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2D5410" w:rsidRDefault="002D5410" w:rsidP="002D5410">
      <w:pPr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2D5410" w:rsidRDefault="002D5410" w:rsidP="002D5410">
      <w:pPr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2D5410" w:rsidRPr="002D5410" w:rsidRDefault="002D5410" w:rsidP="002D5410">
      <w:pPr>
        <w:ind w:left="0" w:firstLine="0"/>
        <w:jc w:val="left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sz w:val="18"/>
          <w:szCs w:val="18"/>
        </w:rPr>
        <w:br w:type="textWrapping" w:clear="all"/>
      </w:r>
      <w:r w:rsidRPr="002D5410">
        <w:rPr>
          <w:rFonts w:ascii="Arial" w:hAnsi="Arial" w:cs="Arial"/>
          <w:i/>
          <w:sz w:val="12"/>
          <w:szCs w:val="12"/>
        </w:rPr>
        <w:t>ADJ. DOC. DIGITAL</w:t>
      </w:r>
    </w:p>
    <w:p w:rsidR="002D5410" w:rsidRPr="002D5410" w:rsidRDefault="002D5410" w:rsidP="002D5410">
      <w:pPr>
        <w:ind w:left="0" w:firstLine="0"/>
        <w:jc w:val="left"/>
        <w:rPr>
          <w:rFonts w:ascii="Arial" w:hAnsi="Arial" w:cs="Arial"/>
          <w:i/>
          <w:sz w:val="12"/>
          <w:szCs w:val="12"/>
        </w:rPr>
      </w:pPr>
      <w:r w:rsidRPr="002D5410">
        <w:rPr>
          <w:rFonts w:ascii="Arial" w:hAnsi="Arial" w:cs="Arial"/>
          <w:i/>
          <w:sz w:val="12"/>
          <w:szCs w:val="12"/>
        </w:rPr>
        <w:t>ADJ. DOC. REF (06 FOLIOS)</w:t>
      </w:r>
    </w:p>
    <w:p w:rsidR="002D5410" w:rsidRDefault="002D5410" w:rsidP="002D5410">
      <w:pPr>
        <w:ind w:left="0" w:firstLine="0"/>
        <w:jc w:val="right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Av. Cesar Vallejo 1390</w:t>
      </w:r>
    </w:p>
    <w:p w:rsidR="002D5410" w:rsidRDefault="002D5410" w:rsidP="002D5410">
      <w:pPr>
        <w:ind w:left="0" w:firstLine="0"/>
        <w:jc w:val="right"/>
        <w:rPr>
          <w:rFonts w:ascii="Arial" w:hAnsi="Arial" w:cs="Arial"/>
          <w:i/>
          <w:sz w:val="14"/>
          <w:szCs w:val="14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5024120</wp:posOffset>
            </wp:positionH>
            <wp:positionV relativeFrom="paragraph">
              <wp:posOffset>-469265</wp:posOffset>
            </wp:positionV>
            <wp:extent cx="771525" cy="466725"/>
            <wp:effectExtent l="19050" t="0" r="9525" b="0"/>
            <wp:wrapSquare wrapText="bothSides"/>
            <wp:docPr id="5" name="Imagen 1" descr="Uso de Logo y la Frase &amp;quot;Siempre Con el Pueblo&amp;quot; - Gobierno del Per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o de Logo y la Frase &amp;quot;Siempre Con el Pueblo&amp;quot; - Gobierno del Per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hyperlink r:id="rId8" w:history="1">
        <w:r w:rsidRPr="00E50610">
          <w:rPr>
            <w:rStyle w:val="Hipervnculo"/>
            <w:rFonts w:ascii="Arial" w:hAnsi="Arial" w:cs="Arial"/>
            <w:i/>
            <w:sz w:val="14"/>
            <w:szCs w:val="14"/>
          </w:rPr>
          <w:t>www.hnhu.gob.pe</w:t>
        </w:r>
      </w:hyperlink>
      <w:r>
        <w:rPr>
          <w:rFonts w:ascii="Arial" w:hAnsi="Arial" w:cs="Arial"/>
          <w:i/>
          <w:sz w:val="14"/>
          <w:szCs w:val="14"/>
        </w:rPr>
        <w:t xml:space="preserve"> El Agustino</w:t>
      </w:r>
    </w:p>
    <w:p w:rsidR="002D5410" w:rsidRDefault="002D5410" w:rsidP="002D5410">
      <w:pPr>
        <w:tabs>
          <w:tab w:val="right" w:pos="9321"/>
        </w:tabs>
        <w:ind w:left="0" w:firstLine="0"/>
        <w:rPr>
          <w:rFonts w:ascii="Arial" w:hAnsi="Arial" w:cs="Arial"/>
          <w:i/>
          <w:sz w:val="14"/>
          <w:szCs w:val="14"/>
          <w:lang w:val="es-PE"/>
        </w:rPr>
      </w:pPr>
      <w:r>
        <w:rPr>
          <w:rFonts w:ascii="Arial" w:hAnsi="Arial" w:cs="Arial"/>
          <w:i/>
          <w:sz w:val="14"/>
          <w:szCs w:val="14"/>
          <w:lang w:val="es-PE"/>
        </w:rPr>
        <w:tab/>
      </w:r>
      <w:r w:rsidRPr="00B67658">
        <w:rPr>
          <w:rFonts w:ascii="Arial" w:hAnsi="Arial" w:cs="Arial"/>
          <w:i/>
          <w:sz w:val="14"/>
          <w:szCs w:val="14"/>
          <w:lang w:val="es-PE"/>
        </w:rPr>
        <w:t>Telf. 362-7777 – 362-5700</w:t>
      </w:r>
    </w:p>
    <w:p w:rsidR="002D5410" w:rsidRDefault="002D5410" w:rsidP="00B67658">
      <w:pPr>
        <w:ind w:left="0" w:firstLine="0"/>
        <w:jc w:val="right"/>
        <w:rPr>
          <w:rFonts w:ascii="Arial" w:hAnsi="Arial" w:cs="Arial"/>
          <w:sz w:val="18"/>
          <w:szCs w:val="18"/>
        </w:rPr>
      </w:pPr>
    </w:p>
    <w:sectPr w:rsidR="002D5410" w:rsidSect="00B67658">
      <w:pgSz w:w="11907" w:h="16839" w:code="9"/>
      <w:pgMar w:top="964" w:right="1276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37AE1"/>
    <w:rsid w:val="00000225"/>
    <w:rsid w:val="0001786A"/>
    <w:rsid w:val="000C2BAB"/>
    <w:rsid w:val="000C319D"/>
    <w:rsid w:val="000E6BE8"/>
    <w:rsid w:val="001202BA"/>
    <w:rsid w:val="001515C3"/>
    <w:rsid w:val="001D6CC5"/>
    <w:rsid w:val="002227D2"/>
    <w:rsid w:val="0026033F"/>
    <w:rsid w:val="002D5410"/>
    <w:rsid w:val="002E089A"/>
    <w:rsid w:val="00347110"/>
    <w:rsid w:val="0042282D"/>
    <w:rsid w:val="004302E2"/>
    <w:rsid w:val="00446008"/>
    <w:rsid w:val="00493454"/>
    <w:rsid w:val="00494309"/>
    <w:rsid w:val="00496B42"/>
    <w:rsid w:val="00607897"/>
    <w:rsid w:val="00637AE1"/>
    <w:rsid w:val="00647635"/>
    <w:rsid w:val="00650249"/>
    <w:rsid w:val="006873F9"/>
    <w:rsid w:val="006F7BE1"/>
    <w:rsid w:val="007558B4"/>
    <w:rsid w:val="00774CEE"/>
    <w:rsid w:val="00854687"/>
    <w:rsid w:val="008E52CB"/>
    <w:rsid w:val="00921143"/>
    <w:rsid w:val="00A30707"/>
    <w:rsid w:val="00A5470C"/>
    <w:rsid w:val="00A64D4F"/>
    <w:rsid w:val="00A73FDF"/>
    <w:rsid w:val="00AD490C"/>
    <w:rsid w:val="00AE01B2"/>
    <w:rsid w:val="00B11B66"/>
    <w:rsid w:val="00B13373"/>
    <w:rsid w:val="00B67658"/>
    <w:rsid w:val="00BC1C3D"/>
    <w:rsid w:val="00C22461"/>
    <w:rsid w:val="00C9591D"/>
    <w:rsid w:val="00CD2CB8"/>
    <w:rsid w:val="00D9391F"/>
    <w:rsid w:val="00E120B4"/>
    <w:rsid w:val="00E74756"/>
    <w:rsid w:val="00EB55E3"/>
    <w:rsid w:val="00F12184"/>
    <w:rsid w:val="00FC6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AE1"/>
    <w:pPr>
      <w:suppressAutoHyphens/>
      <w:spacing w:after="0" w:line="240" w:lineRule="auto"/>
      <w:ind w:left="-295" w:right="-108" w:firstLine="79"/>
      <w:jc w:val="center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7A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7AE1"/>
    <w:rPr>
      <w:rFonts w:ascii="Tahoma" w:eastAsia="Times New Roman" w:hAnsi="Tahoma" w:cs="Tahoma"/>
      <w:sz w:val="16"/>
      <w:szCs w:val="16"/>
      <w:lang w:val="es-ES" w:eastAsia="ar-SA"/>
    </w:rPr>
  </w:style>
  <w:style w:type="character" w:styleId="Hipervnculo">
    <w:name w:val="Hyperlink"/>
    <w:basedOn w:val="Fuentedeprrafopredeter"/>
    <w:uiPriority w:val="99"/>
    <w:unhideWhenUsed/>
    <w:rsid w:val="00774C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nhu.gob.p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gn.gob.p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F212C-5949-4DD9-B721-7FFA75F78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700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usuario2</cp:lastModifiedBy>
  <cp:revision>3</cp:revision>
  <cp:lastPrinted>2022-07-01T16:50:00Z</cp:lastPrinted>
  <dcterms:created xsi:type="dcterms:W3CDTF">2022-07-01T12:55:00Z</dcterms:created>
  <dcterms:modified xsi:type="dcterms:W3CDTF">2022-07-01T16:54:00Z</dcterms:modified>
</cp:coreProperties>
</file>